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DDE2A" w14:textId="77777777" w:rsidR="00527B70" w:rsidRDefault="00527B70" w:rsidP="00F61E29">
      <w:pPr>
        <w:jc w:val="center"/>
        <w:rPr>
          <w:rFonts w:ascii="Arial" w:hAnsi="Arial"/>
          <w:color w:val="808080" w:themeColor="background1" w:themeShade="80"/>
          <w:sz w:val="16"/>
          <w:szCs w:val="18"/>
        </w:rPr>
      </w:pPr>
    </w:p>
    <w:p w14:paraId="2610DFB4" w14:textId="77777777"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7062CC30" w14:textId="77777777" w:rsidR="00BE666D" w:rsidRPr="00BE666D" w:rsidRDefault="00BE666D" w:rsidP="00882DC6">
      <w:pPr>
        <w:jc w:val="center"/>
        <w:rPr>
          <w:rFonts w:ascii="Arial" w:hAnsi="Arial" w:cs="Arial"/>
          <w:b/>
          <w:color w:val="007AC2"/>
          <w:sz w:val="21"/>
        </w:rPr>
      </w:pPr>
    </w:p>
    <w:p w14:paraId="19403870" w14:textId="77777777" w:rsidR="00452AC9" w:rsidRPr="00452AC9" w:rsidRDefault="00452AC9" w:rsidP="00360FCE">
      <w:pPr>
        <w:jc w:val="center"/>
        <w:rPr>
          <w:rFonts w:ascii="Arial" w:hAnsi="Arial" w:cs="Arial"/>
          <w:b/>
          <w:color w:val="007AC2"/>
          <w:sz w:val="15"/>
        </w:rPr>
      </w:pPr>
    </w:p>
    <w:p w14:paraId="19E6366C" w14:textId="22201FCE" w:rsidR="005165FE" w:rsidRPr="00076141" w:rsidRDefault="00A12F1F" w:rsidP="00076141">
      <w:pPr>
        <w:jc w:val="center"/>
        <w:rPr>
          <w:rFonts w:ascii="Arial" w:hAnsi="Arial" w:cs="Arial"/>
          <w:b/>
          <w:bCs/>
          <w:color w:val="007DC5"/>
          <w:sz w:val="21"/>
        </w:rPr>
      </w:pPr>
      <w:r>
        <w:rPr>
          <w:rFonts w:ascii="Arial" w:hAnsi="Arial" w:cs="Arial"/>
          <w:b/>
          <w:bCs/>
          <w:noProof/>
          <w:color w:val="007DC5"/>
          <w:sz w:val="36"/>
        </w:rPr>
        <w:drawing>
          <wp:inline distT="0" distB="0" distL="0" distR="0" wp14:anchorId="4570D370" wp14:editId="0C797444">
            <wp:extent cx="2349500" cy="1680545"/>
            <wp:effectExtent l="0" t="0" r="0" b="0"/>
            <wp:docPr id="3" name="Picture 3" descr="A blurry image of a city street&#13;&#10;&#13;&#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con_I_and_T_A_Doc_Series copy.jpg"/>
                    <pic:cNvPicPr/>
                  </pic:nvPicPr>
                  <pic:blipFill>
                    <a:blip r:embed="rId8"/>
                    <a:stretch>
                      <a:fillRect/>
                    </a:stretch>
                  </pic:blipFill>
                  <pic:spPr>
                    <a:xfrm>
                      <a:off x="0" y="0"/>
                      <a:ext cx="2383680" cy="1704993"/>
                    </a:xfrm>
                    <a:prstGeom prst="rect">
                      <a:avLst/>
                    </a:prstGeom>
                  </pic:spPr>
                </pic:pic>
              </a:graphicData>
            </a:graphic>
          </wp:inline>
        </w:drawing>
      </w:r>
      <w:r w:rsidR="00076141">
        <w:rPr>
          <w:rFonts w:ascii="Arial" w:hAnsi="Arial" w:cs="Arial"/>
          <w:b/>
          <w:bCs/>
          <w:color w:val="007DC5"/>
          <w:sz w:val="36"/>
        </w:rPr>
        <w:br/>
      </w:r>
    </w:p>
    <w:p w14:paraId="2FC2982A" w14:textId="59740CAB" w:rsidR="005165FE" w:rsidRDefault="00A12F47" w:rsidP="00076141">
      <w:pPr>
        <w:jc w:val="center"/>
        <w:rPr>
          <w:rFonts w:ascii="Arial" w:hAnsi="Arial" w:cs="Arial"/>
          <w:b/>
          <w:bCs/>
          <w:color w:val="007DC5"/>
          <w:sz w:val="36"/>
        </w:rPr>
      </w:pPr>
      <w:r w:rsidRPr="00A12F47">
        <w:rPr>
          <w:rFonts w:ascii="Arial" w:hAnsi="Arial" w:cs="Arial"/>
          <w:b/>
          <w:bCs/>
          <w:color w:val="007DC5"/>
          <w:sz w:val="36"/>
        </w:rPr>
        <w:t>Topcon introduces ‘Infrastructure and Technology’ documentary series</w:t>
      </w:r>
    </w:p>
    <w:p w14:paraId="57544F4F" w14:textId="77777777" w:rsidR="00C076B8" w:rsidRPr="00076141" w:rsidRDefault="00C076B8" w:rsidP="00076141">
      <w:pPr>
        <w:rPr>
          <w:rFonts w:ascii="Arial" w:hAnsi="Arial" w:cs="Arial"/>
          <w:b/>
          <w:color w:val="007AC2"/>
          <w:sz w:val="21"/>
        </w:rPr>
      </w:pPr>
    </w:p>
    <w:p w14:paraId="2FB03A9C" w14:textId="10C74F37" w:rsidR="007157C0" w:rsidRDefault="00A12F47" w:rsidP="007157C0">
      <w:pPr>
        <w:rPr>
          <w:rFonts w:ascii="Arial" w:hAnsi="Arial" w:cs="Arial"/>
        </w:rPr>
      </w:pPr>
      <w:r w:rsidRPr="00A12F47">
        <w:rPr>
          <w:rFonts w:ascii="Arial" w:hAnsi="Arial" w:cs="Arial"/>
          <w:i/>
          <w:szCs w:val="20"/>
        </w:rPr>
        <w:t xml:space="preserve">LIVERMORE, Calif., U.S./ CAPELLE A/D IJSSEL, the Netherlands – </w:t>
      </w:r>
      <w:r w:rsidR="00641181">
        <w:rPr>
          <w:rFonts w:ascii="Arial" w:hAnsi="Arial" w:cs="Arial"/>
          <w:i/>
          <w:szCs w:val="20"/>
        </w:rPr>
        <w:t>November 27, 2018</w:t>
      </w:r>
      <w:r w:rsidRPr="00A12F47">
        <w:rPr>
          <w:rFonts w:ascii="Arial" w:hAnsi="Arial" w:cs="Arial"/>
          <w:i/>
          <w:szCs w:val="20"/>
        </w:rPr>
        <w:t xml:space="preserve"> – </w:t>
      </w:r>
      <w:r w:rsidR="007157C0" w:rsidRPr="007157C0">
        <w:rPr>
          <w:rFonts w:ascii="Arial" w:hAnsi="Arial" w:cs="Arial"/>
        </w:rPr>
        <w:t>Topcon Positioning Group announces a </w:t>
      </w:r>
      <w:hyperlink r:id="rId9" w:history="1">
        <w:r w:rsidR="007157C0" w:rsidRPr="007157C0">
          <w:rPr>
            <w:rStyle w:val="Hyperlink"/>
            <w:rFonts w:ascii="Arial" w:hAnsi="Arial" w:cs="Arial"/>
          </w:rPr>
          <w:t>new series of documentary videos</w:t>
        </w:r>
      </w:hyperlink>
      <w:r w:rsidR="007157C0" w:rsidRPr="007157C0">
        <w:rPr>
          <w:rFonts w:ascii="Arial" w:hAnsi="Arial" w:cs="Arial"/>
        </w:rPr>
        <w:t> designed to bring greater awareness to automation and technology in the construction and agriculture industries. Along with thought leadership from Topcon, the documentaries feature interviews with various tangential industry experts and business representatives — including comments from Intel Corporation and SAP among others — offering their perspectives on how technological advancements have changed infrastructure and what to expect going forward.</w:t>
      </w:r>
    </w:p>
    <w:p w14:paraId="4936B82A" w14:textId="77777777" w:rsidR="007157C0" w:rsidRPr="007157C0" w:rsidRDefault="007157C0" w:rsidP="007157C0">
      <w:pPr>
        <w:rPr>
          <w:rFonts w:ascii="Arial" w:hAnsi="Arial" w:cs="Arial"/>
        </w:rPr>
      </w:pPr>
    </w:p>
    <w:p w14:paraId="16C55235" w14:textId="5343EC2A" w:rsidR="007157C0" w:rsidRDefault="007157C0" w:rsidP="007157C0">
      <w:pPr>
        <w:rPr>
          <w:rFonts w:ascii="Arial" w:hAnsi="Arial" w:cs="Arial"/>
          <w:szCs w:val="20"/>
        </w:rPr>
      </w:pPr>
      <w:r w:rsidRPr="007157C0">
        <w:rPr>
          <w:rFonts w:ascii="Arial" w:hAnsi="Arial" w:cs="Arial"/>
          <w:szCs w:val="20"/>
        </w:rPr>
        <w:t xml:space="preserve">Jackie Ferreira, Topcon Positioning Group director of corporate communications, said, “We wanted to take a partnership approach to the video series to feature industry experts along with our visionary thoughts at Topcon. The infrastructure industry is changing quickly, and this video series highlights how this advancement is part of a </w:t>
      </w:r>
      <w:bookmarkStart w:id="0" w:name="_GoBack"/>
      <w:bookmarkEnd w:id="0"/>
      <w:r w:rsidRPr="007157C0">
        <w:rPr>
          <w:rFonts w:ascii="Arial" w:hAnsi="Arial" w:cs="Arial"/>
          <w:szCs w:val="20"/>
        </w:rPr>
        <w:t>larger story of technology changing the paradigm everywhere. To stay on top, businesses will need to adopt automation and new technology.”</w:t>
      </w:r>
    </w:p>
    <w:p w14:paraId="6FC7D6FB" w14:textId="77777777" w:rsidR="007157C0" w:rsidRPr="007157C0" w:rsidRDefault="007157C0" w:rsidP="007157C0">
      <w:pPr>
        <w:rPr>
          <w:rFonts w:ascii="Arial" w:hAnsi="Arial" w:cs="Arial"/>
          <w:szCs w:val="20"/>
        </w:rPr>
      </w:pPr>
    </w:p>
    <w:p w14:paraId="2AEF856F" w14:textId="77777777" w:rsidR="007157C0" w:rsidRPr="007157C0" w:rsidRDefault="007157C0" w:rsidP="007157C0">
      <w:pPr>
        <w:rPr>
          <w:rFonts w:ascii="Arial" w:hAnsi="Arial" w:cs="Arial"/>
          <w:szCs w:val="20"/>
        </w:rPr>
      </w:pPr>
      <w:r w:rsidRPr="007157C0">
        <w:rPr>
          <w:rFonts w:ascii="Arial" w:hAnsi="Arial" w:cs="Arial"/>
          <w:szCs w:val="20"/>
        </w:rPr>
        <w:t>An introduction to the series will be featured at the Association of Equipment Manufacturers’ </w:t>
      </w:r>
      <w:hyperlink r:id="rId10" w:history="1">
        <w:r w:rsidRPr="007157C0">
          <w:rPr>
            <w:rStyle w:val="Hyperlink"/>
            <w:rFonts w:ascii="Arial" w:hAnsi="Arial" w:cs="Arial"/>
            <w:szCs w:val="20"/>
          </w:rPr>
          <w:t>annual conference</w:t>
        </w:r>
      </w:hyperlink>
      <w:r w:rsidRPr="007157C0">
        <w:rPr>
          <w:rFonts w:ascii="Arial" w:hAnsi="Arial" w:cs="Arial"/>
          <w:szCs w:val="20"/>
        </w:rPr>
        <w:t> taking place November 28 – 30, 2018.</w:t>
      </w:r>
    </w:p>
    <w:p w14:paraId="41DEC66B" w14:textId="608F3F36" w:rsidR="007157C0" w:rsidRDefault="007157C0" w:rsidP="007157C0">
      <w:pPr>
        <w:rPr>
          <w:rFonts w:ascii="Arial" w:hAnsi="Arial" w:cs="Arial"/>
          <w:szCs w:val="20"/>
        </w:rPr>
      </w:pPr>
      <w:r w:rsidRPr="007157C0">
        <w:rPr>
          <w:rFonts w:ascii="Arial" w:hAnsi="Arial" w:cs="Arial"/>
          <w:szCs w:val="20"/>
        </w:rPr>
        <w:t>The series was filmed globally in the U.S., the Netherlands, United Kingdom, and Germany. </w:t>
      </w:r>
      <w:hyperlink r:id="rId11" w:history="1">
        <w:r w:rsidRPr="007157C0">
          <w:rPr>
            <w:rStyle w:val="Hyperlink"/>
            <w:rFonts w:ascii="Arial" w:hAnsi="Arial" w:cs="Arial"/>
            <w:szCs w:val="20"/>
          </w:rPr>
          <w:t>Click here</w:t>
        </w:r>
      </w:hyperlink>
      <w:r w:rsidRPr="007157C0">
        <w:rPr>
          <w:rFonts w:ascii="Arial" w:hAnsi="Arial" w:cs="Arial"/>
          <w:szCs w:val="20"/>
        </w:rPr>
        <w:t> to watch the first installment.</w:t>
      </w:r>
    </w:p>
    <w:p w14:paraId="7278E756" w14:textId="77777777" w:rsidR="007157C0" w:rsidRPr="007157C0" w:rsidRDefault="007157C0" w:rsidP="007157C0">
      <w:pPr>
        <w:rPr>
          <w:rFonts w:ascii="Arial" w:hAnsi="Arial" w:cs="Arial"/>
          <w:szCs w:val="20"/>
        </w:rPr>
      </w:pPr>
    </w:p>
    <w:p w14:paraId="1A6EE192" w14:textId="77777777" w:rsidR="007157C0" w:rsidRPr="007157C0" w:rsidRDefault="007157C0" w:rsidP="007157C0">
      <w:pPr>
        <w:rPr>
          <w:rFonts w:ascii="Arial" w:hAnsi="Arial" w:cs="Arial"/>
          <w:szCs w:val="20"/>
        </w:rPr>
      </w:pPr>
      <w:r w:rsidRPr="007157C0">
        <w:rPr>
          <w:rFonts w:ascii="Arial" w:hAnsi="Arial" w:cs="Arial"/>
          <w:szCs w:val="20"/>
        </w:rPr>
        <w:t>For more information, visit </w:t>
      </w:r>
      <w:hyperlink r:id="rId12" w:history="1">
        <w:r w:rsidRPr="007157C0">
          <w:rPr>
            <w:rStyle w:val="Hyperlink"/>
            <w:rFonts w:ascii="Arial" w:hAnsi="Arial" w:cs="Arial"/>
            <w:szCs w:val="20"/>
          </w:rPr>
          <w:t>topconpositioning.com/infrastructure.</w:t>
        </w:r>
      </w:hyperlink>
    </w:p>
    <w:p w14:paraId="03F27EF2" w14:textId="2059CA3D" w:rsidR="00CC164E" w:rsidRPr="00A12F47" w:rsidRDefault="00CC164E" w:rsidP="007157C0">
      <w:pPr>
        <w:rPr>
          <w:rFonts w:ascii="Arial" w:hAnsi="Arial" w:cs="Arial"/>
          <w:b/>
          <w:color w:val="808080" w:themeColor="background1" w:themeShade="80"/>
          <w:sz w:val="22"/>
          <w:szCs w:val="18"/>
        </w:rPr>
      </w:pPr>
    </w:p>
    <w:p w14:paraId="08FCC09E" w14:textId="77777777" w:rsidR="00452AC9" w:rsidRPr="00CE16B4" w:rsidRDefault="003A1037" w:rsidP="00360FCE">
      <w:pPr>
        <w:rPr>
          <w:rFonts w:ascii="Arial" w:hAnsi="Arial" w:cs="Arial"/>
          <w:color w:val="808080" w:themeColor="background1" w:themeShade="80"/>
          <w:sz w:val="15"/>
          <w:szCs w:val="16"/>
        </w:rPr>
      </w:pPr>
      <w:r w:rsidRPr="00CE16B4">
        <w:rPr>
          <w:rFonts w:ascii="Arial" w:hAnsi="Arial" w:cs="Arial"/>
          <w:b/>
          <w:color w:val="808080" w:themeColor="background1" w:themeShade="80"/>
          <w:sz w:val="15"/>
          <w:szCs w:val="16"/>
        </w:rPr>
        <w:t xml:space="preserve">About Topcon Positioning Group </w:t>
      </w:r>
      <w:r w:rsidR="00F61E29" w:rsidRPr="00CE16B4">
        <w:rPr>
          <w:rFonts w:ascii="Arial" w:hAnsi="Arial" w:cs="Arial"/>
          <w:b/>
          <w:color w:val="808080" w:themeColor="background1" w:themeShade="80"/>
          <w:sz w:val="15"/>
          <w:szCs w:val="16"/>
        </w:rPr>
        <w:br/>
      </w:r>
      <w:r w:rsidR="00CE16B4" w:rsidRPr="00CE16B4">
        <w:rPr>
          <w:rFonts w:ascii="Arial" w:hAnsi="Arial" w:cs="Arial"/>
          <w:color w:val="808080" w:themeColor="background1" w:themeShade="80"/>
          <w:sz w:val="15"/>
          <w:szCs w:val="16"/>
        </w:rPr>
        <w:t>Topcon Positioning Group is headquartered in Livermore, California, U.S. (</w:t>
      </w:r>
      <w:hyperlink r:id="rId13" w:history="1">
        <w:r w:rsidR="00CE16B4" w:rsidRPr="00CE16B4">
          <w:rPr>
            <w:rStyle w:val="Hyperlink"/>
            <w:rFonts w:ascii="Arial" w:hAnsi="Arial" w:cs="Arial"/>
            <w:sz w:val="15"/>
            <w:szCs w:val="16"/>
          </w:rPr>
          <w:t>topconpositioning.com</w:t>
        </w:r>
      </w:hyperlink>
      <w:r w:rsidR="00CE16B4" w:rsidRPr="00CE16B4">
        <w:rPr>
          <w:rFonts w:ascii="Arial" w:hAnsi="Arial" w:cs="Arial"/>
          <w:color w:val="808080" w:themeColor="background1" w:themeShade="80"/>
          <w:sz w:val="15"/>
          <w:szCs w:val="16"/>
        </w:rPr>
        <w:t xml:space="preserve">). Its European head office is in </w:t>
      </w:r>
      <w:proofErr w:type="spellStart"/>
      <w:r w:rsidR="00CE16B4" w:rsidRPr="00CE16B4">
        <w:rPr>
          <w:rFonts w:ascii="Arial" w:hAnsi="Arial" w:cs="Arial"/>
          <w:color w:val="808080" w:themeColor="background1" w:themeShade="80"/>
          <w:sz w:val="15"/>
          <w:szCs w:val="16"/>
        </w:rPr>
        <w:t>Capelle</w:t>
      </w:r>
      <w:proofErr w:type="spellEnd"/>
      <w:r w:rsidR="00CE16B4" w:rsidRPr="00CE16B4">
        <w:rPr>
          <w:rFonts w:ascii="Arial" w:hAnsi="Arial" w:cs="Arial"/>
          <w:color w:val="808080" w:themeColor="background1" w:themeShade="80"/>
          <w:sz w:val="15"/>
          <w:szCs w:val="16"/>
        </w:rPr>
        <w:t xml:space="preserve"> </w:t>
      </w:r>
      <w:proofErr w:type="spellStart"/>
      <w:r w:rsidR="00CE16B4" w:rsidRPr="00CE16B4">
        <w:rPr>
          <w:rFonts w:ascii="Arial" w:hAnsi="Arial" w:cs="Arial"/>
          <w:color w:val="808080" w:themeColor="background1" w:themeShade="80"/>
          <w:sz w:val="15"/>
          <w:szCs w:val="16"/>
        </w:rPr>
        <w:t>a/d</w:t>
      </w:r>
      <w:proofErr w:type="spellEnd"/>
      <w:r w:rsidR="00CE16B4" w:rsidRPr="00CE16B4">
        <w:rPr>
          <w:rFonts w:ascii="Arial" w:hAnsi="Arial" w:cs="Arial"/>
          <w:color w:val="808080" w:themeColor="background1" w:themeShade="80"/>
          <w:sz w:val="15"/>
          <w:szCs w:val="16"/>
        </w:rPr>
        <w:t xml:space="preserve"> </w:t>
      </w:r>
      <w:proofErr w:type="spellStart"/>
      <w:r w:rsidR="00CE16B4" w:rsidRPr="00CE16B4">
        <w:rPr>
          <w:rFonts w:ascii="Arial" w:hAnsi="Arial" w:cs="Arial"/>
          <w:color w:val="808080" w:themeColor="background1" w:themeShade="80"/>
          <w:sz w:val="15"/>
          <w:szCs w:val="16"/>
        </w:rPr>
        <w:t>IJssel</w:t>
      </w:r>
      <w:proofErr w:type="spellEnd"/>
      <w:r w:rsidR="00CE16B4" w:rsidRPr="00CE16B4">
        <w:rPr>
          <w:rFonts w:ascii="Arial" w:hAnsi="Arial" w:cs="Arial"/>
          <w:color w:val="808080" w:themeColor="background1" w:themeShade="80"/>
          <w:sz w:val="15"/>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4" w:history="1">
        <w:r w:rsidR="00CE16B4" w:rsidRPr="00CE16B4">
          <w:rPr>
            <w:rStyle w:val="Hyperlink"/>
            <w:rFonts w:ascii="Arial" w:hAnsi="Arial" w:cs="Arial"/>
            <w:sz w:val="15"/>
            <w:szCs w:val="16"/>
          </w:rPr>
          <w:t>topcon.com</w:t>
        </w:r>
      </w:hyperlink>
      <w:r w:rsidR="00CE16B4" w:rsidRPr="00CE16B4">
        <w:rPr>
          <w:rFonts w:ascii="Arial" w:hAnsi="Arial" w:cs="Arial"/>
          <w:color w:val="808080" w:themeColor="background1" w:themeShade="80"/>
          <w:sz w:val="15"/>
          <w:szCs w:val="16"/>
        </w:rPr>
        <w:t>), founded in 1932, is traded on the Tokyo Stock Exchange (7732). </w:t>
      </w:r>
    </w:p>
    <w:p w14:paraId="63761170" w14:textId="77777777" w:rsidR="002078F0" w:rsidRPr="00CE16B4" w:rsidRDefault="002078F0" w:rsidP="00360FCE">
      <w:pPr>
        <w:rPr>
          <w:rFonts w:ascii="Arial" w:hAnsi="Arial" w:cs="Arial"/>
          <w:color w:val="808080" w:themeColor="background1" w:themeShade="80"/>
          <w:sz w:val="15"/>
          <w:szCs w:val="16"/>
        </w:rPr>
      </w:pPr>
    </w:p>
    <w:p w14:paraId="4387DDB0" w14:textId="77777777" w:rsidR="002078F0" w:rsidRPr="00CE16B4" w:rsidRDefault="00F61E29" w:rsidP="008430A1">
      <w:pPr>
        <w:jc w:val="center"/>
        <w:rPr>
          <w:rFonts w:ascii="Arial" w:hAnsi="Arial" w:cs="Arial"/>
          <w:color w:val="808080" w:themeColor="background1" w:themeShade="80"/>
          <w:sz w:val="15"/>
          <w:szCs w:val="16"/>
        </w:rPr>
      </w:pPr>
      <w:r w:rsidRPr="00CE16B4">
        <w:rPr>
          <w:rFonts w:ascii="Arial" w:hAnsi="Arial" w:cs="Arial"/>
          <w:color w:val="808080" w:themeColor="background1" w:themeShade="80"/>
          <w:sz w:val="15"/>
          <w:szCs w:val="16"/>
        </w:rPr>
        <w:t># # #</w:t>
      </w:r>
    </w:p>
    <w:p w14:paraId="4E508746" w14:textId="77777777" w:rsidR="00F61E29" w:rsidRPr="00CE16B4" w:rsidRDefault="00F61E29" w:rsidP="00F61E29">
      <w:pPr>
        <w:outlineLvl w:val="0"/>
        <w:rPr>
          <w:rFonts w:ascii="Arial" w:hAnsi="Arial" w:cs="Arial"/>
          <w:b/>
          <w:color w:val="808080" w:themeColor="background1" w:themeShade="80"/>
          <w:sz w:val="15"/>
          <w:szCs w:val="16"/>
        </w:rPr>
      </w:pPr>
      <w:r w:rsidRPr="00CE16B4">
        <w:rPr>
          <w:rFonts w:ascii="Arial" w:hAnsi="Arial" w:cs="Arial"/>
          <w:b/>
          <w:color w:val="808080" w:themeColor="background1" w:themeShade="80"/>
          <w:sz w:val="15"/>
          <w:szCs w:val="16"/>
        </w:rPr>
        <w:t xml:space="preserve">Press Contact: </w:t>
      </w:r>
    </w:p>
    <w:p w14:paraId="02625636" w14:textId="77777777" w:rsidR="00F61E29" w:rsidRPr="00CE16B4" w:rsidRDefault="00F61E29" w:rsidP="00F61E29">
      <w:pPr>
        <w:outlineLvl w:val="0"/>
        <w:rPr>
          <w:rFonts w:ascii="Arial" w:hAnsi="Arial" w:cs="Arial"/>
          <w:bCs/>
          <w:color w:val="808080" w:themeColor="background1" w:themeShade="80"/>
          <w:sz w:val="15"/>
          <w:szCs w:val="16"/>
        </w:rPr>
      </w:pPr>
      <w:r w:rsidRPr="00CE16B4">
        <w:rPr>
          <w:rFonts w:ascii="Arial" w:hAnsi="Arial" w:cs="Arial"/>
          <w:bCs/>
          <w:color w:val="808080" w:themeColor="background1" w:themeShade="80"/>
          <w:sz w:val="15"/>
          <w:szCs w:val="16"/>
        </w:rPr>
        <w:t>Topcon Positioning Group</w:t>
      </w:r>
    </w:p>
    <w:p w14:paraId="1191F790" w14:textId="77777777" w:rsidR="00F61E29" w:rsidRPr="00CE16B4" w:rsidRDefault="000658B5" w:rsidP="00F61E29">
      <w:pPr>
        <w:outlineLvl w:val="0"/>
        <w:rPr>
          <w:rFonts w:ascii="Arial" w:hAnsi="Arial" w:cs="Arial"/>
          <w:bCs/>
          <w:color w:val="808080" w:themeColor="background1" w:themeShade="80"/>
          <w:sz w:val="15"/>
          <w:szCs w:val="16"/>
          <w:lang w:val="it-IT"/>
        </w:rPr>
      </w:pPr>
      <w:hyperlink r:id="rId15" w:history="1">
        <w:r w:rsidR="00F61E29" w:rsidRPr="00CE16B4">
          <w:rPr>
            <w:rStyle w:val="Hyperlink"/>
            <w:rFonts w:ascii="Arial" w:hAnsi="Arial" w:cs="Arial"/>
            <w:bCs/>
            <w:color w:val="808080" w:themeColor="background1" w:themeShade="80"/>
            <w:sz w:val="15"/>
            <w:szCs w:val="16"/>
            <w:lang w:val="it-IT"/>
          </w:rPr>
          <w:t>CorpComm@topcon.com</w:t>
        </w:r>
      </w:hyperlink>
    </w:p>
    <w:p w14:paraId="27D30DA8" w14:textId="77777777" w:rsidR="008430A1" w:rsidRPr="00CE16B4" w:rsidRDefault="00FD1C0E">
      <w:pPr>
        <w:outlineLvl w:val="0"/>
        <w:rPr>
          <w:rFonts w:ascii="Arial" w:hAnsi="Arial" w:cs="Arial"/>
          <w:bCs/>
          <w:color w:val="808080" w:themeColor="background1" w:themeShade="80"/>
          <w:sz w:val="15"/>
          <w:szCs w:val="16"/>
        </w:rPr>
      </w:pPr>
      <w:r w:rsidRPr="00CE16B4">
        <w:rPr>
          <w:rFonts w:ascii="Arial" w:hAnsi="Arial" w:cs="Arial"/>
          <w:bCs/>
          <w:color w:val="808080" w:themeColor="background1" w:themeShade="80"/>
          <w:sz w:val="15"/>
          <w:szCs w:val="16"/>
        </w:rPr>
        <w:t>Sta</w:t>
      </w:r>
      <w:r w:rsidR="00E54648" w:rsidRPr="00CE16B4">
        <w:rPr>
          <w:rFonts w:ascii="Arial" w:hAnsi="Arial" w:cs="Arial"/>
          <w:bCs/>
          <w:color w:val="808080" w:themeColor="background1" w:themeShade="80"/>
          <w:sz w:val="15"/>
          <w:szCs w:val="16"/>
        </w:rPr>
        <w:t xml:space="preserve">ci Fitzgerald, +1 925-245-8610 </w:t>
      </w:r>
    </w:p>
    <w:sectPr w:rsidR="008430A1" w:rsidRPr="00CE16B4" w:rsidSect="009C7717">
      <w:headerReference w:type="first" r:id="rId16"/>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93750" w14:textId="77777777" w:rsidR="000658B5" w:rsidRDefault="000658B5">
      <w:r>
        <w:separator/>
      </w:r>
    </w:p>
  </w:endnote>
  <w:endnote w:type="continuationSeparator" w:id="0">
    <w:p w14:paraId="023129D7" w14:textId="77777777" w:rsidR="000658B5" w:rsidRDefault="00065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47483" w14:textId="77777777" w:rsidR="000658B5" w:rsidRDefault="000658B5">
      <w:r>
        <w:separator/>
      </w:r>
    </w:p>
  </w:footnote>
  <w:footnote w:type="continuationSeparator" w:id="0">
    <w:p w14:paraId="27CD957F" w14:textId="77777777" w:rsidR="000658B5" w:rsidRDefault="00065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3F12"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43415504" wp14:editId="3C6763BA">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DF6FAD" w14:textId="77777777" w:rsidR="00870D37" w:rsidRPr="00EB1000" w:rsidRDefault="00870D37" w:rsidP="00220127">
    <w:pPr>
      <w:pStyle w:val="Header"/>
      <w:ind w:right="-720"/>
      <w:jc w:val="right"/>
      <w:rPr>
        <w:rFonts w:ascii="Arial" w:hAnsi="Arial"/>
        <w:color w:val="FFFFFF" w:themeColor="background1"/>
        <w:sz w:val="32"/>
        <w:szCs w:val="32"/>
      </w:rPr>
    </w:pPr>
  </w:p>
  <w:p w14:paraId="75CC2D64"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5B"/>
    <w:rsid w:val="00006C61"/>
    <w:rsid w:val="0001184B"/>
    <w:rsid w:val="00022A22"/>
    <w:rsid w:val="00041628"/>
    <w:rsid w:val="000418C2"/>
    <w:rsid w:val="000451B1"/>
    <w:rsid w:val="000658B5"/>
    <w:rsid w:val="00073328"/>
    <w:rsid w:val="00076141"/>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55FB"/>
    <w:rsid w:val="00195E40"/>
    <w:rsid w:val="001A276A"/>
    <w:rsid w:val="001A4E5B"/>
    <w:rsid w:val="001A5950"/>
    <w:rsid w:val="001B6BA0"/>
    <w:rsid w:val="001D47AE"/>
    <w:rsid w:val="001D5259"/>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923F7"/>
    <w:rsid w:val="002A03E1"/>
    <w:rsid w:val="002A070C"/>
    <w:rsid w:val="002A1B4F"/>
    <w:rsid w:val="002B0374"/>
    <w:rsid w:val="002B2158"/>
    <w:rsid w:val="002B32F1"/>
    <w:rsid w:val="002B438C"/>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60FCE"/>
    <w:rsid w:val="003801D4"/>
    <w:rsid w:val="0038352E"/>
    <w:rsid w:val="00384598"/>
    <w:rsid w:val="0039761D"/>
    <w:rsid w:val="003A1037"/>
    <w:rsid w:val="003A6C06"/>
    <w:rsid w:val="003A7243"/>
    <w:rsid w:val="003A72EA"/>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52AC9"/>
    <w:rsid w:val="0046547D"/>
    <w:rsid w:val="00466B6A"/>
    <w:rsid w:val="00471166"/>
    <w:rsid w:val="00482A23"/>
    <w:rsid w:val="00486106"/>
    <w:rsid w:val="00494F00"/>
    <w:rsid w:val="004B7B79"/>
    <w:rsid w:val="004C2A52"/>
    <w:rsid w:val="004C4705"/>
    <w:rsid w:val="004C77DD"/>
    <w:rsid w:val="004C7DC9"/>
    <w:rsid w:val="004D399D"/>
    <w:rsid w:val="004E03C4"/>
    <w:rsid w:val="004E7280"/>
    <w:rsid w:val="004F0BDC"/>
    <w:rsid w:val="004F37D7"/>
    <w:rsid w:val="00513E5B"/>
    <w:rsid w:val="005165FE"/>
    <w:rsid w:val="00524D07"/>
    <w:rsid w:val="00527B70"/>
    <w:rsid w:val="005330B7"/>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1181"/>
    <w:rsid w:val="0064309C"/>
    <w:rsid w:val="006456AE"/>
    <w:rsid w:val="0065235A"/>
    <w:rsid w:val="00653C74"/>
    <w:rsid w:val="006608B7"/>
    <w:rsid w:val="006643CB"/>
    <w:rsid w:val="0067004D"/>
    <w:rsid w:val="006713DD"/>
    <w:rsid w:val="006746B1"/>
    <w:rsid w:val="006926B3"/>
    <w:rsid w:val="006A0908"/>
    <w:rsid w:val="006B2A9A"/>
    <w:rsid w:val="006C6B2E"/>
    <w:rsid w:val="006D3CF8"/>
    <w:rsid w:val="006E05C2"/>
    <w:rsid w:val="006E2F31"/>
    <w:rsid w:val="006E5194"/>
    <w:rsid w:val="006F2B49"/>
    <w:rsid w:val="0071332E"/>
    <w:rsid w:val="007157C0"/>
    <w:rsid w:val="00726BAA"/>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D48BF"/>
    <w:rsid w:val="007E23BF"/>
    <w:rsid w:val="007F4506"/>
    <w:rsid w:val="00810DE0"/>
    <w:rsid w:val="00813858"/>
    <w:rsid w:val="008141F4"/>
    <w:rsid w:val="00827142"/>
    <w:rsid w:val="008310B9"/>
    <w:rsid w:val="00832E9A"/>
    <w:rsid w:val="008430A1"/>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1C33"/>
    <w:rsid w:val="009C3261"/>
    <w:rsid w:val="009C7717"/>
    <w:rsid w:val="009E2FE3"/>
    <w:rsid w:val="00A06D66"/>
    <w:rsid w:val="00A12F1F"/>
    <w:rsid w:val="00A12F47"/>
    <w:rsid w:val="00A276D5"/>
    <w:rsid w:val="00A34C2B"/>
    <w:rsid w:val="00A36D45"/>
    <w:rsid w:val="00A47E24"/>
    <w:rsid w:val="00A57BD4"/>
    <w:rsid w:val="00A60195"/>
    <w:rsid w:val="00A9365C"/>
    <w:rsid w:val="00A95736"/>
    <w:rsid w:val="00A976A5"/>
    <w:rsid w:val="00AA2A43"/>
    <w:rsid w:val="00AA5C55"/>
    <w:rsid w:val="00AB5044"/>
    <w:rsid w:val="00AB50D8"/>
    <w:rsid w:val="00AB59DB"/>
    <w:rsid w:val="00AC09BA"/>
    <w:rsid w:val="00AD0AD8"/>
    <w:rsid w:val="00AE6481"/>
    <w:rsid w:val="00AF2A3E"/>
    <w:rsid w:val="00AF6E40"/>
    <w:rsid w:val="00AF7967"/>
    <w:rsid w:val="00B20424"/>
    <w:rsid w:val="00B208C9"/>
    <w:rsid w:val="00B402B7"/>
    <w:rsid w:val="00B4058E"/>
    <w:rsid w:val="00B42E92"/>
    <w:rsid w:val="00B64457"/>
    <w:rsid w:val="00B84AD7"/>
    <w:rsid w:val="00B92736"/>
    <w:rsid w:val="00B92C56"/>
    <w:rsid w:val="00B92CFE"/>
    <w:rsid w:val="00BA6826"/>
    <w:rsid w:val="00BB19B5"/>
    <w:rsid w:val="00BB25D3"/>
    <w:rsid w:val="00BB4455"/>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82ECE"/>
    <w:rsid w:val="00C92C21"/>
    <w:rsid w:val="00C958B3"/>
    <w:rsid w:val="00CB791D"/>
    <w:rsid w:val="00CC164E"/>
    <w:rsid w:val="00CD2F22"/>
    <w:rsid w:val="00CD3455"/>
    <w:rsid w:val="00CE16B4"/>
    <w:rsid w:val="00CE188F"/>
    <w:rsid w:val="00CE7843"/>
    <w:rsid w:val="00CF403B"/>
    <w:rsid w:val="00CF7FC5"/>
    <w:rsid w:val="00D0574B"/>
    <w:rsid w:val="00D06CD0"/>
    <w:rsid w:val="00D21DEA"/>
    <w:rsid w:val="00D250E6"/>
    <w:rsid w:val="00D2655F"/>
    <w:rsid w:val="00D47414"/>
    <w:rsid w:val="00D55832"/>
    <w:rsid w:val="00D60933"/>
    <w:rsid w:val="00D62FA8"/>
    <w:rsid w:val="00D6369D"/>
    <w:rsid w:val="00D647FC"/>
    <w:rsid w:val="00D6784A"/>
    <w:rsid w:val="00D70AF0"/>
    <w:rsid w:val="00D70EE2"/>
    <w:rsid w:val="00D91CF0"/>
    <w:rsid w:val="00D94532"/>
    <w:rsid w:val="00D979CB"/>
    <w:rsid w:val="00DA66FE"/>
    <w:rsid w:val="00DC60A0"/>
    <w:rsid w:val="00DF026C"/>
    <w:rsid w:val="00DF41BF"/>
    <w:rsid w:val="00E064C3"/>
    <w:rsid w:val="00E07393"/>
    <w:rsid w:val="00E07F73"/>
    <w:rsid w:val="00E16158"/>
    <w:rsid w:val="00E32B47"/>
    <w:rsid w:val="00E54648"/>
    <w:rsid w:val="00E74974"/>
    <w:rsid w:val="00E85012"/>
    <w:rsid w:val="00E95EFF"/>
    <w:rsid w:val="00EA49B1"/>
    <w:rsid w:val="00EB1000"/>
    <w:rsid w:val="00EC3044"/>
    <w:rsid w:val="00EC57E9"/>
    <w:rsid w:val="00EC60E2"/>
    <w:rsid w:val="00ED70D3"/>
    <w:rsid w:val="00EE1C16"/>
    <w:rsid w:val="00EE33D2"/>
    <w:rsid w:val="00F17432"/>
    <w:rsid w:val="00F20CD6"/>
    <w:rsid w:val="00F25765"/>
    <w:rsid w:val="00F32E83"/>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3CF503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customStyle="1" w:styleId="UnresolvedMention1">
    <w:name w:val="Unresolved Mention1"/>
    <w:basedOn w:val="DefaultParagraphFont"/>
    <w:uiPriority w:val="99"/>
    <w:rsid w:val="008430A1"/>
    <w:rPr>
      <w:color w:val="605E5C"/>
      <w:shd w:val="clear" w:color="auto" w:fill="E1DFDD"/>
    </w:rPr>
  </w:style>
  <w:style w:type="character" w:customStyle="1" w:styleId="UnresolvedMention2">
    <w:name w:val="Unresolved Mention2"/>
    <w:basedOn w:val="DefaultParagraphFont"/>
    <w:uiPriority w:val="99"/>
    <w:rsid w:val="003A72EA"/>
    <w:rPr>
      <w:color w:val="605E5C"/>
      <w:shd w:val="clear" w:color="auto" w:fill="E1DFDD"/>
    </w:rPr>
  </w:style>
  <w:style w:type="character" w:styleId="UnresolvedMention">
    <w:name w:val="Unresolved Mention"/>
    <w:basedOn w:val="DefaultParagraphFont"/>
    <w:uiPriority w:val="99"/>
    <w:rsid w:val="00715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54416746">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876308518">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opconpositioning.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pconpositioning.com/infrastructu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meo.com/294869254" TargetMode="External"/><Relationship Id="rId5" Type="http://schemas.openxmlformats.org/officeDocument/2006/relationships/webSettings" Target="webSettings.xml"/><Relationship Id="rId15" Type="http://schemas.openxmlformats.org/officeDocument/2006/relationships/hyperlink" Target="mailto:CorpComm@topcon.com" TargetMode="External"/><Relationship Id="rId10" Type="http://schemas.openxmlformats.org/officeDocument/2006/relationships/hyperlink" Target="https://www.aem.org/events/conferences-and-seminars/annual-conference/" TargetMode="External"/><Relationship Id="rId4" Type="http://schemas.openxmlformats.org/officeDocument/2006/relationships/settings" Target="settings.xml"/><Relationship Id="rId9" Type="http://schemas.openxmlformats.org/officeDocument/2006/relationships/hyperlink" Target="https://www.topconpositioning.com/infrastructure" TargetMode="External"/><Relationship Id="rId14" Type="http://schemas.openxmlformats.org/officeDocument/2006/relationships/hyperlink" Target="http://global.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2FFCC-E4B8-1845-B2CF-5D1234D0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2557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6</cp:revision>
  <cp:lastPrinted>2015-08-13T12:52:00Z</cp:lastPrinted>
  <dcterms:created xsi:type="dcterms:W3CDTF">2018-11-16T22:29:00Z</dcterms:created>
  <dcterms:modified xsi:type="dcterms:W3CDTF">2019-01-21T22:36:00Z</dcterms:modified>
  <cp:category/>
</cp:coreProperties>
</file>